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Times New Roman" w:hAnsi="Times New Roman" w:eastAsia="仿宋_GB2312"/>
          <w:kern w:val="0"/>
          <w:sz w:val="32"/>
          <w:szCs w:val="32"/>
        </w:rPr>
        <w:t>1</w:t>
      </w:r>
    </w:p>
    <w:p>
      <w:pPr>
        <w:rPr>
          <w:rFonts w:ascii="Times New Roman" w:hAnsi="Times New Roman" w:eastAsia="方正小标宋简体"/>
          <w:sz w:val="48"/>
          <w:szCs w:val="48"/>
        </w:rPr>
      </w:pPr>
    </w:p>
    <w:p>
      <w:pPr>
        <w:rPr>
          <w:rFonts w:ascii="Times New Roman" w:hAnsi="Times New Roman" w:eastAsia="方正小标宋简体"/>
          <w:sz w:val="48"/>
          <w:szCs w:val="48"/>
        </w:rPr>
      </w:pPr>
    </w:p>
    <w:p>
      <w:pPr>
        <w:rPr>
          <w:rFonts w:ascii="Times New Roman" w:hAnsi="Times New Roman" w:eastAsia="方正小标宋简体"/>
          <w:sz w:val="48"/>
          <w:szCs w:val="48"/>
        </w:rPr>
      </w:pPr>
    </w:p>
    <w:p>
      <w:pPr>
        <w:jc w:val="center"/>
        <w:rPr>
          <w:rFonts w:ascii="Times New Roman" w:hAnsi="Times New Roman" w:eastAsia="方正小标宋简体"/>
          <w:sz w:val="48"/>
          <w:szCs w:val="48"/>
        </w:rPr>
      </w:pPr>
      <w:r>
        <w:rPr>
          <w:rFonts w:ascii="Times New Roman" w:hAnsi="Times New Roman" w:eastAsia="方正小标宋简体"/>
          <w:sz w:val="48"/>
          <w:szCs w:val="48"/>
        </w:rPr>
        <w:t>部门整体支出绩效自评报告</w:t>
      </w:r>
    </w:p>
    <w:p>
      <w:pPr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/>
          <w:sz w:val="36"/>
          <w:szCs w:val="36"/>
        </w:rPr>
        <w:t>（</w:t>
      </w:r>
      <w:r>
        <w:rPr>
          <w:rFonts w:ascii="Times New Roman" w:hAnsi="Times New Roman" w:eastAsia="方正小标宋简体"/>
          <w:sz w:val="36"/>
          <w:szCs w:val="36"/>
        </w:rPr>
        <w:t>202</w:t>
      </w:r>
      <w:r>
        <w:rPr>
          <w:rFonts w:hint="eastAsia" w:ascii="Times New Roman" w:hAnsi="Times New Roman" w:eastAsia="方正小标宋简体"/>
          <w:sz w:val="36"/>
          <w:szCs w:val="36"/>
        </w:rPr>
        <w:t>2</w:t>
      </w:r>
      <w:r>
        <w:rPr>
          <w:rFonts w:ascii="Times New Roman" w:hAnsi="Times New Roman" w:eastAsia="方正小标宋简体"/>
          <w:sz w:val="36"/>
          <w:szCs w:val="36"/>
        </w:rPr>
        <w:t>年度</w:t>
      </w:r>
      <w:r>
        <w:rPr>
          <w:rFonts w:hint="eastAsia" w:ascii="Times New Roman" w:hAnsi="Times New Roman" w:eastAsia="方正小标宋简体"/>
          <w:sz w:val="36"/>
          <w:szCs w:val="36"/>
        </w:rPr>
        <w:t>）</w:t>
      </w: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/>
          <w:sz w:val="36"/>
          <w:szCs w:val="36"/>
        </w:rPr>
      </w:pPr>
    </w:p>
    <w:p>
      <w:pPr>
        <w:jc w:val="center"/>
        <w:rPr>
          <w:rFonts w:ascii="Times New Roman" w:hAnsi="Times New Roman"/>
          <w:sz w:val="36"/>
          <w:szCs w:val="36"/>
        </w:rPr>
      </w:pPr>
    </w:p>
    <w:p>
      <w:pPr>
        <w:jc w:val="center"/>
        <w:rPr>
          <w:rFonts w:ascii="Times New Roman" w:hAnsi="Times New Roman"/>
          <w:sz w:val="36"/>
          <w:szCs w:val="36"/>
        </w:rPr>
      </w:pPr>
    </w:p>
    <w:p>
      <w:pPr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单位名称</w:t>
      </w:r>
      <w:r>
        <w:rPr>
          <w:rFonts w:hint="eastAsia" w:ascii="Times New Roman" w:hAnsi="Times New Roman"/>
          <w:sz w:val="36"/>
          <w:szCs w:val="36"/>
        </w:rPr>
        <w:t>：（盖章）</w:t>
      </w:r>
    </w:p>
    <w:p>
      <w:pPr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/>
          <w:sz w:val="36"/>
          <w:szCs w:val="36"/>
        </w:rPr>
        <w:t>主要负责人签字</w:t>
      </w:r>
      <w:r>
        <w:rPr>
          <w:rFonts w:ascii="Times New Roman" w:hAnsi="Times New Roman"/>
          <w:sz w:val="36"/>
          <w:szCs w:val="36"/>
        </w:rPr>
        <w:t>：</w:t>
      </w:r>
    </w:p>
    <w:p>
      <w:pPr>
        <w:jc w:val="center"/>
        <w:rPr>
          <w:rFonts w:ascii="Times New Roman" w:hAnsi="Times New Roman" w:eastAsia="黑体"/>
          <w:sz w:val="36"/>
          <w:szCs w:val="36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 xml:space="preserve">年  </w:t>
      </w:r>
      <w:r>
        <w:rPr>
          <w:rFonts w:hint="eastAsia" w:ascii="Times New Roman" w:hAnsi="Times New Roman" w:eastAsia="黑体"/>
          <w:sz w:val="32"/>
          <w:szCs w:val="32"/>
        </w:rPr>
        <w:t xml:space="preserve"> </w:t>
      </w:r>
      <w:r>
        <w:rPr>
          <w:rFonts w:ascii="Times New Roman" w:hAnsi="Times New Roman" w:eastAsia="黑体"/>
          <w:sz w:val="32"/>
          <w:szCs w:val="32"/>
        </w:rPr>
        <w:t xml:space="preserve"> 月  </w:t>
      </w:r>
      <w:r>
        <w:rPr>
          <w:rFonts w:hint="eastAsia" w:ascii="Times New Roman" w:hAnsi="Times New Roman" w:eastAsia="黑体"/>
          <w:sz w:val="32"/>
          <w:szCs w:val="32"/>
        </w:rPr>
        <w:t xml:space="preserve">  </w:t>
      </w:r>
      <w:r>
        <w:rPr>
          <w:rFonts w:ascii="Times New Roman" w:hAnsi="Times New Roman" w:eastAsia="黑体"/>
          <w:sz w:val="32"/>
          <w:szCs w:val="32"/>
        </w:rPr>
        <w:t>日</w:t>
      </w: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部门整体支出绩效自评报告</w:t>
      </w:r>
    </w:p>
    <w:p>
      <w:pPr>
        <w:widowControl/>
        <w:shd w:val="clear" w:color="auto" w:fill="FFFFFF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为进一步规范财政资金管理，强化财政支出绩效理念和责任意识，切实提高财政资源配置效率和使用效益，</w:t>
      </w:r>
      <w:r>
        <w:rPr>
          <w:rFonts w:ascii="Times New Roman" w:hAnsi="Times New Roman" w:eastAsia="仿宋_GB2312"/>
          <w:sz w:val="32"/>
          <w:szCs w:val="32"/>
        </w:rPr>
        <w:t>根据</w:t>
      </w:r>
      <w:r>
        <w:rPr>
          <w:rFonts w:hint="eastAsia" w:ascii="Times New Roman" w:hAnsi="Times New Roman" w:eastAsia="仿宋_GB2312"/>
          <w:sz w:val="32"/>
          <w:szCs w:val="32"/>
        </w:rPr>
        <w:t>省委省政府</w:t>
      </w:r>
      <w:r>
        <w:rPr>
          <w:rFonts w:ascii="Times New Roman" w:hAnsi="Times New Roman" w:eastAsia="仿宋_GB2312"/>
          <w:sz w:val="32"/>
          <w:szCs w:val="32"/>
        </w:rPr>
        <w:t>《关于全面实施预算绩效管理的实施意见》（湘办发〔2019〕10号）和《衡阳市预算绩效管理实施办法》(衡办发〔2021〕13号)精神，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现将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2022年度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具体绩效评价情况报告如下：</w:t>
      </w:r>
    </w:p>
    <w:p>
      <w:pPr>
        <w:pStyle w:val="18"/>
        <w:widowControl/>
        <w:numPr>
          <w:ilvl w:val="0"/>
          <w:numId w:val="1"/>
        </w:numPr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部门、单位基本情况</w:t>
      </w:r>
    </w:p>
    <w:p>
      <w:pPr>
        <w:pStyle w:val="18"/>
        <w:widowControl/>
        <w:ind w:firstLine="640"/>
        <w:rPr>
          <w:rFonts w:hint="eastAsia"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衡阳市中心医院始建于 1902 年，是衡阳市属规模最大的三级甲等综合性医院，湖南省规划建设的市级区域性医院之一，是南方医科大学、湖南环境生物职业技术学院附属医院，南华大学教学医院，现有一院三址，包括雁峰院区、华新院区、奇峰院区，占地面积 376 亩，建筑面积 40 多万㎡；编制床位 1500 张，设置临床医技科室60 个，其中省重点专科 2 个，市重点专科 3 个；在职员工共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1704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 xml:space="preserve"> 人。医院内设行管职能科室 21 个，临床科室 44 个，医技科室 16 个。无下属独立核算单位，无下属单位。近年来，医院围绕构建“建精品医院、筑尖端学科、做患者和医者贴心人”的行动使命，坚守“”仁心仁术、济世济民”的院训，崇尚“性仁、品卓、知博、术精”的百年精神，竭力为人民群众提供“安全、有效、方便、价廉”的优质服务。</w:t>
      </w:r>
    </w:p>
    <w:p>
      <w:pPr>
        <w:pStyle w:val="18"/>
        <w:widowControl/>
        <w:numPr>
          <w:ilvl w:val="0"/>
          <w:numId w:val="0"/>
        </w:numPr>
        <w:ind w:leftChars="200"/>
        <w:rPr>
          <w:rFonts w:hint="default" w:eastAsia="黑体"/>
          <w:sz w:val="32"/>
          <w:szCs w:val="32"/>
          <w:lang w:val="en-US" w:eastAsia="zh-CN"/>
        </w:rPr>
      </w:pPr>
    </w:p>
    <w:p>
      <w:pPr>
        <w:pStyle w:val="18"/>
        <w:widowControl/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二、一般公共预算支出情况</w:t>
      </w:r>
    </w:p>
    <w:p>
      <w:pPr>
        <w:pStyle w:val="18"/>
        <w:widowControl/>
        <w:ind w:firstLine="643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（一）基本支出情况</w:t>
      </w:r>
    </w:p>
    <w:p>
      <w:pPr>
        <w:ind w:firstLine="640" w:firstLineChars="200"/>
        <w:rPr>
          <w:rFonts w:eastAsia="楷体"/>
          <w:b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基本支出：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89225.05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万元，202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年本部门基本支出预算数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76910.97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万元。202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年基本支出主要是为保障部门正常运转、完成日常工作任务而发生的各项支出，包括用于基本工资、津贴补贴等人员经费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30065.19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办公费、印刷费、水电费、办公设备购置等公用经费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59159.86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万元。</w:t>
      </w:r>
    </w:p>
    <w:p>
      <w:pPr>
        <w:pStyle w:val="18"/>
        <w:widowControl/>
        <w:numPr>
          <w:ilvl w:val="0"/>
          <w:numId w:val="2"/>
        </w:numPr>
        <w:ind w:firstLine="643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项目支出情况</w:t>
      </w:r>
    </w:p>
    <w:p>
      <w:pPr>
        <w:widowControl/>
        <w:ind w:firstLine="640" w:firstLineChars="200"/>
        <w:rPr>
          <w:rFonts w:hint="eastAsia" w:eastAsia="仿宋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</w:rPr>
        <w:t>项目支出：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3075.9</w:t>
      </w:r>
      <w:r>
        <w:rPr>
          <w:rFonts w:hint="eastAsia" w:ascii="Times New Roman" w:hAnsi="Times New Roman" w:eastAsia="仿宋"/>
          <w:sz w:val="32"/>
          <w:szCs w:val="32"/>
        </w:rPr>
        <w:t>万元，202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/>
          <w:sz w:val="32"/>
          <w:szCs w:val="32"/>
        </w:rPr>
        <w:t xml:space="preserve">年本部门项目支出预算数 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46160.02</w:t>
      </w:r>
      <w:r>
        <w:rPr>
          <w:rFonts w:hint="eastAsia" w:ascii="Times New Roman" w:hAnsi="Times New Roman" w:eastAsia="仿宋"/>
          <w:sz w:val="32"/>
          <w:szCs w:val="32"/>
        </w:rPr>
        <w:t>万元。202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/>
          <w:sz w:val="32"/>
          <w:szCs w:val="32"/>
        </w:rPr>
        <w:t>年项目支出主要包括基本建设类项目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1328.91</w:t>
      </w:r>
      <w:r>
        <w:rPr>
          <w:rFonts w:hint="eastAsia" w:ascii="Times New Roman" w:hAnsi="Times New Roman" w:eastAsia="仿宋"/>
          <w:sz w:val="32"/>
          <w:szCs w:val="32"/>
        </w:rPr>
        <w:t>万元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。</w:t>
      </w:r>
    </w:p>
    <w:p>
      <w:pPr>
        <w:pStyle w:val="18"/>
        <w:widowControl/>
        <w:numPr>
          <w:ilvl w:val="0"/>
          <w:numId w:val="0"/>
        </w:numPr>
        <w:ind w:leftChars="200" w:firstLine="320" w:firstLineChars="1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三、</w:t>
      </w:r>
      <w:r>
        <w:rPr>
          <w:rFonts w:eastAsia="黑体"/>
          <w:sz w:val="32"/>
          <w:szCs w:val="32"/>
        </w:rPr>
        <w:t>政府性基金预算支出情况</w:t>
      </w:r>
    </w:p>
    <w:p>
      <w:pPr>
        <w:pStyle w:val="18"/>
        <w:widowControl/>
        <w:numPr>
          <w:ilvl w:val="0"/>
          <w:numId w:val="0"/>
        </w:numPr>
        <w:ind w:leftChars="200" w:firstLine="960" w:firstLineChars="30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无</w:t>
      </w:r>
    </w:p>
    <w:p>
      <w:pPr>
        <w:pStyle w:val="18"/>
        <w:widowControl/>
        <w:numPr>
          <w:ilvl w:val="0"/>
          <w:numId w:val="3"/>
        </w:numPr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国有资本经营预算支出情况</w:t>
      </w:r>
    </w:p>
    <w:p>
      <w:pPr>
        <w:pStyle w:val="18"/>
        <w:widowControl/>
        <w:numPr>
          <w:ilvl w:val="0"/>
          <w:numId w:val="0"/>
        </w:numPr>
        <w:rPr>
          <w:rFonts w:hint="default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 xml:space="preserve">        无</w:t>
      </w:r>
    </w:p>
    <w:p>
      <w:pPr>
        <w:pStyle w:val="18"/>
        <w:widowControl/>
        <w:numPr>
          <w:ilvl w:val="0"/>
          <w:numId w:val="3"/>
        </w:numPr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社会保险基金预算支出情况</w:t>
      </w:r>
    </w:p>
    <w:p>
      <w:pPr>
        <w:pStyle w:val="18"/>
        <w:widowControl/>
        <w:numPr>
          <w:ilvl w:val="0"/>
          <w:numId w:val="0"/>
        </w:numPr>
        <w:ind w:leftChars="200"/>
        <w:rPr>
          <w:rFonts w:hint="default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 xml:space="preserve">     无</w:t>
      </w:r>
    </w:p>
    <w:p>
      <w:pPr>
        <w:widowControl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六、部门整体支出绩效情况</w:t>
      </w:r>
    </w:p>
    <w:p>
      <w:pPr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本单位202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年度收到财政拨款资金共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3146.08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万元。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(一)</w:t>
      </w:r>
      <w:r>
        <w:rPr>
          <w:rFonts w:ascii="Times New Roman" w:hAnsi="Times New Roman" w:eastAsia="黑体"/>
          <w:sz w:val="32"/>
          <w:szCs w:val="32"/>
        </w:rPr>
        <w:t>预算资金绩效目标，包括总体目标和年度目标。</w:t>
      </w:r>
    </w:p>
    <w:p>
      <w:pPr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</w:rPr>
        <w:t>年医院积极承当疫情防控的重任，克服诸多困难，依照省卫健委的工作部署和要求，制定了严格的新冠肺炎防控实行方案，围绕医疗工作、疫情防控、院感控制、后勤保障等方面进行宣扬保障和督导检查。医院高度重视深化医药卫生体制改革，严格执行省卫健委总控指标要求，扎实推进改革各项工作，其中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2022年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医疗服务收入（不含药品、耗材、检查、化验收入）占医疗收入比例为32.12%，较上年增长1.49个百分点，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2022年人员费用占费用总额的比重为36.39%，较2021年增加2.45个百分点，积极响应国家“两个允许”政策，</w:t>
      </w:r>
      <w:r>
        <w:rPr>
          <w:rFonts w:hint="eastAsia" w:ascii="Times New Roman" w:hAnsi="Times New Roman" w:eastAsia="仿宋_GB2312"/>
          <w:sz w:val="32"/>
          <w:szCs w:val="32"/>
        </w:rPr>
        <w:t>优化人员支出结构，为医疗机构提升医疗服务质量创造了更加有利的条件。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（二）</w:t>
      </w:r>
      <w:r>
        <w:rPr>
          <w:rFonts w:ascii="Times New Roman" w:hAnsi="Times New Roman" w:eastAsia="黑体"/>
          <w:sz w:val="32"/>
          <w:szCs w:val="32"/>
        </w:rPr>
        <w:t>、项目资金使用及管理情况</w:t>
      </w:r>
    </w:p>
    <w:p>
      <w:pPr>
        <w:pStyle w:val="2"/>
        <w:ind w:firstLine="640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本年度财政拨款支出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3239.97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万元：财政基本补助人员经费支出1562.51万元，其中退休人员经费2.19万元。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财政项目拨款包括：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派驻市监察委员会留置场所医护人员相关经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费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80万元，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公立医院综合改革中央财政补助562.4万元，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公务员医疗补助77.36万元等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项目拨款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基本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严格按照具体使用用途使用完毕，根据实际情况的需要安排自有经费填补差额。</w:t>
      </w:r>
    </w:p>
    <w:p>
      <w:pPr>
        <w:pStyle w:val="18"/>
        <w:widowControl/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七、存在的问题及原因分析</w:t>
      </w:r>
    </w:p>
    <w:p>
      <w:pPr>
        <w:widowControl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2022年基本支出数高于2022年基本支出预算数主要是因为受新冠防疫政策影响，人员经费及防疫费用支出增加。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2022年项目支出数低于2022年项目支出预算数主要是由于受新冠疫情影响，导致基建工程停滞，支出较少。</w:t>
      </w:r>
    </w:p>
    <w:p>
      <w:pPr>
        <w:widowControl/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>
      <w:pPr>
        <w:widowControl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八、下一步改进措施</w:t>
      </w:r>
    </w:p>
    <w:p>
      <w:pPr>
        <w:ind w:right="64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 1、严格按照预算执行业务，持续跟进预算完成进度。</w:t>
      </w: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2、加快基建工程建设</w:t>
      </w:r>
    </w:p>
    <w:p>
      <w:pPr>
        <w:pStyle w:val="2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3、不断提升医疗服务质量</w:t>
      </w: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right="640"/>
        <w:rPr>
          <w:rFonts w:ascii="Times New Roman" w:hAnsi="Times New Roman" w:eastAsia="仿宋_GB2312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2  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/>
          <w:kern w:val="0"/>
          <w:sz w:val="36"/>
          <w:szCs w:val="36"/>
        </w:rPr>
        <w:t xml:space="preserve"> </w:t>
      </w:r>
    </w:p>
    <w:p>
      <w:pPr>
        <w:ind w:left="359" w:leftChars="171" w:right="640" w:firstLine="1440" w:firstLineChars="400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 xml:space="preserve">部门整体支出绩效评价基础数据表  </w:t>
      </w:r>
    </w:p>
    <w:p>
      <w:pPr>
        <w:ind w:right="640"/>
        <w:rPr>
          <w:rFonts w:ascii="Times New Roman" w:hAnsi="Times New Roman" w:eastAsia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>填报单位：</w:t>
      </w:r>
      <w:r>
        <w:rPr>
          <w:rFonts w:hint="eastAsia" w:ascii="Times New Roman" w:hAnsi="Times New Roman"/>
          <w:kern w:val="0"/>
          <w:sz w:val="24"/>
        </w:rPr>
        <w:t>（盖章）</w:t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ascii="Times New Roman" w:hAnsi="Times New Roman" w:eastAsia="PMingLiU"/>
          <w:kern w:val="0"/>
          <w:sz w:val="24"/>
        </w:rPr>
        <w:tab/>
      </w:r>
    </w:p>
    <w:tbl>
      <w:tblPr>
        <w:tblStyle w:val="9"/>
        <w:tblW w:w="94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2038"/>
        <w:gridCol w:w="2240"/>
        <w:gridCol w:w="18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财政供养人员情况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编制数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年实际在职人数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2400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 xml:space="preserve">        898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37.42%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经费控制情况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年决算数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年预算数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一、部门基本支出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78798.09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630" w:firstLineChars="300"/>
              <w:jc w:val="left"/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ind w:firstLine="630" w:firstLineChars="300"/>
              <w:jc w:val="left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76,910.97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89225.05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其中：公用经费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46815.24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47316.25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55394.27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其中：办公经费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1204.94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1281.99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水费、电费、差旅费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959.63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1015.57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1238.68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会议费、培训费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214.11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205.93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24.23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945" w:firstLineChars="450"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三公经费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31.2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27.18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19.08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 1、公务用车购置和维护经费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30.47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22.57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16.58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其中：公交车购置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公交车运行维护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30.47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22.57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16.58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 2、出国经费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 3、公务接待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0.73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 xml:space="preserve">        4.61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2.5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二、部门项目支出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20006.1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3075.9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1、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科学技术支出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9.03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97.88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、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社会保障和就业支出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1.92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kern w:val="0"/>
                <w:szCs w:val="21"/>
              </w:rPr>
              <w:t>、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卫生健康支出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19995.15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2973.1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政府采购金额</w:t>
            </w:r>
          </w:p>
        </w:tc>
        <w:tc>
          <w:tcPr>
            <w:tcW w:w="2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4276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14631.13</w:t>
            </w: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厉行节约保障措施</w:t>
            </w:r>
          </w:p>
        </w:tc>
        <w:tc>
          <w:tcPr>
            <w:tcW w:w="6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</w:rPr>
              <w:t>加强对全体职员的教育,培养良好的节能习惯,从一滴水、一度电、一张纸着眼,厉行节约,</w:t>
            </w: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响应政府“过紧日子”</w:t>
            </w:r>
            <w:r>
              <w:rPr>
                <w:rFonts w:hint="eastAsia" w:eastAsia="仿宋_GB2312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的号召</w:t>
            </w:r>
          </w:p>
        </w:tc>
      </w:tr>
    </w:tbl>
    <w:p>
      <w:pPr>
        <w:rPr>
          <w:rFonts w:ascii="Times New Roman" w:hAnsi="Times New Roman"/>
          <w:kern w:val="0"/>
          <w:sz w:val="22"/>
        </w:rPr>
      </w:pPr>
    </w:p>
    <w:p>
      <w:pPr>
        <w:rPr>
          <w:rFonts w:ascii="Times New Roman" w:hAnsi="Times New Roman"/>
          <w:kern w:val="0"/>
          <w:sz w:val="22"/>
        </w:rPr>
      </w:pPr>
    </w:p>
    <w:p>
      <w:pPr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24"/>
        </w:rPr>
        <w:t>填表人：       填报日期：        联系电话：       单位负责人签字</w:t>
      </w:r>
      <w:r>
        <w:rPr>
          <w:rFonts w:hint="eastAsia" w:ascii="Times New Roman" w:hAnsi="Times New Roman" w:eastAsia="仿宋_GB2312"/>
          <w:sz w:val="24"/>
          <w:lang w:eastAsia="zh-CN"/>
        </w:rPr>
        <w:t>：</w:t>
      </w: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</w:rPr>
      </w:pPr>
      <w:r>
        <w:rPr>
          <w:rFonts w:ascii="Times New Roman" w:hAnsi="Times New Roman" w:eastAsia="黑体"/>
          <w:sz w:val="32"/>
          <w:szCs w:val="32"/>
        </w:rPr>
        <w:t>附件3</w:t>
      </w:r>
    </w:p>
    <w:tbl>
      <w:tblPr>
        <w:tblStyle w:val="9"/>
        <w:tblW w:w="99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020"/>
        <w:gridCol w:w="1110"/>
        <w:gridCol w:w="1125"/>
        <w:gridCol w:w="1110"/>
        <w:gridCol w:w="255"/>
        <w:gridCol w:w="810"/>
        <w:gridCol w:w="210"/>
        <w:gridCol w:w="960"/>
        <w:gridCol w:w="765"/>
        <w:gridCol w:w="300"/>
        <w:gridCol w:w="9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99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880" w:firstLineChars="800"/>
              <w:rPr>
                <w:rFonts w:ascii="Times New Roman" w:hAnsi="Times New Roman"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部门整体支出绩效自评表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99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填报单位： （盖章）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 xml:space="preserve">                 （2022年度）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部门名称</w:t>
            </w: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衡阳市中心医院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执行数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资金执行率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36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年度预算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申请（万元）</w:t>
            </w: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资金总额：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123070.99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92300.95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75%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7.5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按收入性质分：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 xml:space="preserve">                         </w:t>
            </w:r>
          </w:p>
        </w:tc>
        <w:tc>
          <w:tcPr>
            <w:tcW w:w="40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按支出性质分：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其中： 一般公共预算收入：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1642.51</w:t>
            </w:r>
          </w:p>
        </w:tc>
        <w:tc>
          <w:tcPr>
            <w:tcW w:w="40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 xml:space="preserve"> 其中：基本支出：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89225.05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840" w:firstLineChars="400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政府性基金拨款：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40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840" w:firstLineChars="400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项目支出：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3075.9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纳入专户管理的非税收入拨款：</w:t>
            </w:r>
          </w:p>
        </w:tc>
        <w:tc>
          <w:tcPr>
            <w:tcW w:w="40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6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680" w:firstLineChars="800"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其他资金：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121428,48</w:t>
            </w:r>
          </w:p>
        </w:tc>
        <w:tc>
          <w:tcPr>
            <w:tcW w:w="40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680" w:firstLineChars="800"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部门职能职责概述</w:t>
            </w:r>
          </w:p>
        </w:tc>
        <w:tc>
          <w:tcPr>
            <w:tcW w:w="863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both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我院是集医疗、预防、保健、急救、科研、教学为一体的三级甲等公立综合医院。国家住院医师规范化培训基地、湖南省基层医疗卫生机构全科医生转岗培训基地、湖南省医师资格实践技能考试基地、衡阳市120急救中心、仁济司法鉴定中心设于我院。承担全市职工劳动能力鉴定、司法鉴定、病残儿童鉴定、中高考体检、执业医师考试、全科医生培训等任务；承当南方医科大学、中南大学、南华大学的硕士研究生、本科生及专科生的教学培养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整体绩效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目标</w:t>
            </w:r>
          </w:p>
        </w:tc>
        <w:tc>
          <w:tcPr>
            <w:tcW w:w="863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防控新冠肺炎疫情；深化医疗体制改革；提升医疗服务质量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3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部门整体支出年度绩效指标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偏差原因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分析及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50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分)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公立医院医疗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改革财政拨付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562.4万元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医疗服务收入占比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32.12%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及时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及时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百元医疗收入的医疗费用低于全市水平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106.14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百元医疗收入消耗的卫生材料低于全市水平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18.4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40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分）</w:t>
            </w:r>
          </w:p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经济效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资产负债率低于全国水平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20.65%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社会效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门诊次均费用下降明显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-36.44%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生态效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万元收入耗能持续降低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115.85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可持续性发展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可持续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社会公众或服务对象满意度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社会公众满意度基本满意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基本满意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 xml:space="preserve">                          总分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spacing w:beforeLines="5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仿宋_GB2312"/>
          <w:sz w:val="24"/>
        </w:rPr>
        <w:t>填表人：       填报日期：        联系电话：       单位负责人签字：</w:t>
      </w: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六、有关建议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七、其他需要说明的问题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附件：1.绩效评价基础数据表</w:t>
      </w:r>
    </w:p>
    <w:p>
      <w:pPr>
        <w:adjustRightInd w:val="0"/>
        <w:snapToGrid w:val="0"/>
        <w:spacing w:line="600" w:lineRule="exact"/>
        <w:ind w:firstLine="1600" w:firstLineChars="5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2.项目支出绩效自评表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425" w:num="1"/>
      <w:titlePg/>
      <w:rtlGutter w:val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A2C42D-464F-4DDA-8FB3-B8CC495C8A5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0EEEE1E5-8005-4CC8-B06E-434F2CBD03F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A162DCE-C5B1-4A6D-9341-3DEF3033D49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E055807-C921-4D49-A58A-668E29BD1C7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DB032697-A5B1-42E4-9CB6-3BAFB02466A1}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  <w:embedRegular r:id="rId6" w:fontKey="{FA6EBAF9-AEEF-4C90-8EF0-2FE9F477411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7" w:fontKey="{9DECA92E-EFAA-4405-BA42-F6A6C1A42F17}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  <w:rFonts w:ascii="Times New Roman" w:hAnsi="Times New Roman"/>
        <w:sz w:val="28"/>
        <w:szCs w:val="28"/>
      </w:rPr>
    </w:pPr>
    <w:r>
      <w:rPr>
        <w:rStyle w:val="11"/>
        <w:rFonts w:ascii="Times New Roman" w:hAnsi="Times New Roman"/>
        <w:sz w:val="28"/>
        <w:szCs w:val="28"/>
      </w:rPr>
      <w:fldChar w:fldCharType="begin"/>
    </w:r>
    <w:r>
      <w:rPr>
        <w:rStyle w:val="11"/>
        <w:rFonts w:ascii="Times New Roman" w:hAnsi="Times New Roman"/>
        <w:sz w:val="28"/>
        <w:szCs w:val="28"/>
      </w:rPr>
      <w:instrText xml:space="preserve">PAGE  </w:instrText>
    </w:r>
    <w:r>
      <w:rPr>
        <w:rStyle w:val="11"/>
        <w:rFonts w:ascii="Times New Roman" w:hAnsi="Times New Roman"/>
        <w:sz w:val="28"/>
        <w:szCs w:val="28"/>
      </w:rPr>
      <w:fldChar w:fldCharType="separate"/>
    </w:r>
    <w:r>
      <w:rPr>
        <w:rStyle w:val="11"/>
        <w:rFonts w:ascii="Times New Roman" w:hAnsi="Times New Roman"/>
        <w:sz w:val="28"/>
        <w:szCs w:val="28"/>
      </w:rPr>
      <w:t>- 15 -</w:t>
    </w:r>
    <w:r>
      <w:rPr>
        <w:rStyle w:val="11"/>
        <w:rFonts w:ascii="Times New Roman" w:hAnsi="Times New Roman"/>
        <w:sz w:val="28"/>
        <w:szCs w:val="28"/>
      </w:rPr>
      <w:fldChar w:fldCharType="end"/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6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38EA9E"/>
    <w:multiLevelType w:val="singleLevel"/>
    <w:tmpl w:val="1738EA9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065541F"/>
    <w:multiLevelType w:val="singleLevel"/>
    <w:tmpl w:val="206554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7E36E05"/>
    <w:multiLevelType w:val="singleLevel"/>
    <w:tmpl w:val="37E36E0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c2YTE3ODI2YzdhYzNjZDUxMDM4OGRlZmY0YTNiY2MifQ=="/>
  </w:docVars>
  <w:rsids>
    <w:rsidRoot w:val="00C553EF"/>
    <w:rsid w:val="00012C93"/>
    <w:rsid w:val="000734E3"/>
    <w:rsid w:val="000773D5"/>
    <w:rsid w:val="00080625"/>
    <w:rsid w:val="00082293"/>
    <w:rsid w:val="00093B9D"/>
    <w:rsid w:val="00094646"/>
    <w:rsid w:val="000A561A"/>
    <w:rsid w:val="000D5E7F"/>
    <w:rsid w:val="000E2B59"/>
    <w:rsid w:val="000E2E9C"/>
    <w:rsid w:val="000F775C"/>
    <w:rsid w:val="00135131"/>
    <w:rsid w:val="00135395"/>
    <w:rsid w:val="00173AA9"/>
    <w:rsid w:val="00184AF2"/>
    <w:rsid w:val="001A7CAB"/>
    <w:rsid w:val="001B56F4"/>
    <w:rsid w:val="001B69B6"/>
    <w:rsid w:val="001B6D56"/>
    <w:rsid w:val="00220A85"/>
    <w:rsid w:val="002238BB"/>
    <w:rsid w:val="00225BED"/>
    <w:rsid w:val="002320EB"/>
    <w:rsid w:val="002A03D6"/>
    <w:rsid w:val="002D01D7"/>
    <w:rsid w:val="002F05A3"/>
    <w:rsid w:val="003056F3"/>
    <w:rsid w:val="003126FC"/>
    <w:rsid w:val="00323CF3"/>
    <w:rsid w:val="0032533F"/>
    <w:rsid w:val="003A1408"/>
    <w:rsid w:val="003B7F5C"/>
    <w:rsid w:val="003E1FD6"/>
    <w:rsid w:val="003E5841"/>
    <w:rsid w:val="003F1540"/>
    <w:rsid w:val="004148E0"/>
    <w:rsid w:val="004217FE"/>
    <w:rsid w:val="00440BFE"/>
    <w:rsid w:val="00463FD5"/>
    <w:rsid w:val="00474AD0"/>
    <w:rsid w:val="00487AC5"/>
    <w:rsid w:val="00496F05"/>
    <w:rsid w:val="00537950"/>
    <w:rsid w:val="00551D43"/>
    <w:rsid w:val="00566BA9"/>
    <w:rsid w:val="005709FF"/>
    <w:rsid w:val="00581EEE"/>
    <w:rsid w:val="005851E9"/>
    <w:rsid w:val="00591495"/>
    <w:rsid w:val="00594AEE"/>
    <w:rsid w:val="005D031D"/>
    <w:rsid w:val="006264B7"/>
    <w:rsid w:val="00677EDD"/>
    <w:rsid w:val="006964D9"/>
    <w:rsid w:val="006F37DA"/>
    <w:rsid w:val="007109A0"/>
    <w:rsid w:val="007123D7"/>
    <w:rsid w:val="00713B58"/>
    <w:rsid w:val="00751BF0"/>
    <w:rsid w:val="00764972"/>
    <w:rsid w:val="00771B0E"/>
    <w:rsid w:val="007A6F2C"/>
    <w:rsid w:val="007B3731"/>
    <w:rsid w:val="007C3C5A"/>
    <w:rsid w:val="007E2D1B"/>
    <w:rsid w:val="007E3E71"/>
    <w:rsid w:val="008241E1"/>
    <w:rsid w:val="00835818"/>
    <w:rsid w:val="00847A3C"/>
    <w:rsid w:val="00893AEC"/>
    <w:rsid w:val="00940D4A"/>
    <w:rsid w:val="00971DB4"/>
    <w:rsid w:val="0097394E"/>
    <w:rsid w:val="009D0C0A"/>
    <w:rsid w:val="00A0127D"/>
    <w:rsid w:val="00A148B9"/>
    <w:rsid w:val="00A2187E"/>
    <w:rsid w:val="00A3605E"/>
    <w:rsid w:val="00A377C0"/>
    <w:rsid w:val="00A55C61"/>
    <w:rsid w:val="00A801F4"/>
    <w:rsid w:val="00AC12C1"/>
    <w:rsid w:val="00AC5F31"/>
    <w:rsid w:val="00AF15ED"/>
    <w:rsid w:val="00B049DD"/>
    <w:rsid w:val="00B17D23"/>
    <w:rsid w:val="00B62F82"/>
    <w:rsid w:val="00B702EE"/>
    <w:rsid w:val="00B86511"/>
    <w:rsid w:val="00B86BA1"/>
    <w:rsid w:val="00B9399A"/>
    <w:rsid w:val="00BD1721"/>
    <w:rsid w:val="00BD4955"/>
    <w:rsid w:val="00C23636"/>
    <w:rsid w:val="00C553EF"/>
    <w:rsid w:val="00C641BD"/>
    <w:rsid w:val="00C91F4C"/>
    <w:rsid w:val="00C9428C"/>
    <w:rsid w:val="00CC6012"/>
    <w:rsid w:val="00CD7E4E"/>
    <w:rsid w:val="00CE4DFE"/>
    <w:rsid w:val="00CF0AA7"/>
    <w:rsid w:val="00D64926"/>
    <w:rsid w:val="00D74987"/>
    <w:rsid w:val="00D812AD"/>
    <w:rsid w:val="00D8620A"/>
    <w:rsid w:val="00D90B2D"/>
    <w:rsid w:val="00DC7EE1"/>
    <w:rsid w:val="00DD4AA2"/>
    <w:rsid w:val="00DD5A15"/>
    <w:rsid w:val="00E01819"/>
    <w:rsid w:val="00E039BF"/>
    <w:rsid w:val="00E323CD"/>
    <w:rsid w:val="00E8571A"/>
    <w:rsid w:val="00E94B12"/>
    <w:rsid w:val="00EF0339"/>
    <w:rsid w:val="00F137EB"/>
    <w:rsid w:val="00F2080B"/>
    <w:rsid w:val="00F55DE1"/>
    <w:rsid w:val="00FA2BB2"/>
    <w:rsid w:val="00FC450D"/>
    <w:rsid w:val="00FD081E"/>
    <w:rsid w:val="00FE100B"/>
    <w:rsid w:val="00FE4826"/>
    <w:rsid w:val="028D58A7"/>
    <w:rsid w:val="03043E77"/>
    <w:rsid w:val="07C71168"/>
    <w:rsid w:val="0D3B5CCB"/>
    <w:rsid w:val="0D4829AA"/>
    <w:rsid w:val="0D4C4C6A"/>
    <w:rsid w:val="0F262ACD"/>
    <w:rsid w:val="117F345B"/>
    <w:rsid w:val="15DA6FC6"/>
    <w:rsid w:val="16BF00C9"/>
    <w:rsid w:val="18934E7A"/>
    <w:rsid w:val="217D46AD"/>
    <w:rsid w:val="27AC710D"/>
    <w:rsid w:val="2CA61530"/>
    <w:rsid w:val="2D9B1D3D"/>
    <w:rsid w:val="2E660FDE"/>
    <w:rsid w:val="398B5761"/>
    <w:rsid w:val="3A987BA2"/>
    <w:rsid w:val="3AE95CC7"/>
    <w:rsid w:val="3B0D3B28"/>
    <w:rsid w:val="3BFC0501"/>
    <w:rsid w:val="3E4345A2"/>
    <w:rsid w:val="3F52287D"/>
    <w:rsid w:val="416B7C26"/>
    <w:rsid w:val="41C61B6B"/>
    <w:rsid w:val="44A75419"/>
    <w:rsid w:val="45633A36"/>
    <w:rsid w:val="4A6F6D2D"/>
    <w:rsid w:val="4AA151FE"/>
    <w:rsid w:val="4B5859EE"/>
    <w:rsid w:val="4DF66FD0"/>
    <w:rsid w:val="501F5BA2"/>
    <w:rsid w:val="50C6650D"/>
    <w:rsid w:val="50D8093A"/>
    <w:rsid w:val="539E0D4B"/>
    <w:rsid w:val="5C2F64BB"/>
    <w:rsid w:val="609A4BD3"/>
    <w:rsid w:val="62882016"/>
    <w:rsid w:val="62F62474"/>
    <w:rsid w:val="640815D9"/>
    <w:rsid w:val="64FB2B89"/>
    <w:rsid w:val="65B31738"/>
    <w:rsid w:val="66B91727"/>
    <w:rsid w:val="69882DBE"/>
    <w:rsid w:val="6AF80B9B"/>
    <w:rsid w:val="6B511F48"/>
    <w:rsid w:val="6BAD2A66"/>
    <w:rsid w:val="6CDE3E9F"/>
    <w:rsid w:val="6EF74444"/>
    <w:rsid w:val="71125845"/>
    <w:rsid w:val="773A3B3B"/>
    <w:rsid w:val="77A24B7F"/>
    <w:rsid w:val="789F2268"/>
    <w:rsid w:val="79A2386E"/>
    <w:rsid w:val="7C82778A"/>
    <w:rsid w:val="7F20194F"/>
    <w:rsid w:val="7F4A2182"/>
    <w:rsid w:val="7F531EB8"/>
    <w:rsid w:val="7F910F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tabs>
        <w:tab w:val="left" w:pos="630"/>
      </w:tabs>
      <w:ind w:firstLine="420" w:firstLineChars="200"/>
    </w:pPr>
    <w:rPr>
      <w:sz w:val="22"/>
      <w:lang w:eastAsia="en-US"/>
    </w:rPr>
  </w:style>
  <w:style w:type="paragraph" w:customStyle="1" w:styleId="3">
    <w:name w:val="BodyTextIndent"/>
    <w:basedOn w:val="1"/>
    <w:qFormat/>
    <w:uiPriority w:val="0"/>
    <w:pPr>
      <w:spacing w:line="600" w:lineRule="exact"/>
      <w:ind w:firstLine="540" w:firstLineChars="225"/>
    </w:pPr>
    <w:rPr>
      <w:sz w:val="24"/>
    </w:rPr>
  </w:style>
  <w:style w:type="paragraph" w:styleId="4">
    <w:name w:val="annotation text"/>
    <w:basedOn w:val="1"/>
    <w:link w:val="13"/>
    <w:qFormat/>
    <w:uiPriority w:val="99"/>
    <w:pPr>
      <w:jc w:val="left"/>
    </w:pPr>
    <w:rPr>
      <w:rFonts w:ascii="Times New Roman" w:hAnsi="Times New Roman"/>
      <w:szCs w:val="24"/>
    </w:rPr>
  </w:style>
  <w:style w:type="paragraph" w:styleId="5">
    <w:name w:val="Balloon Text"/>
    <w:basedOn w:val="1"/>
    <w:link w:val="14"/>
    <w:qFormat/>
    <w:uiPriority w:val="99"/>
    <w:rPr>
      <w:rFonts w:ascii="Times New Roman" w:hAnsi="Times New Roman"/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annotation reference"/>
    <w:basedOn w:val="10"/>
    <w:qFormat/>
    <w:uiPriority w:val="99"/>
    <w:rPr>
      <w:rFonts w:cs="Times New Roman"/>
      <w:sz w:val="21"/>
      <w:szCs w:val="21"/>
    </w:rPr>
  </w:style>
  <w:style w:type="character" w:customStyle="1" w:styleId="13">
    <w:name w:val="批注文字 Char"/>
    <w:basedOn w:val="10"/>
    <w:link w:val="4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4">
    <w:name w:val="批注框文本 Char"/>
    <w:basedOn w:val="10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10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basedOn w:val="10"/>
    <w:link w:val="7"/>
    <w:qFormat/>
    <w:locked/>
    <w:uiPriority w:val="99"/>
    <w:rPr>
      <w:rFonts w:cs="Times New Roman"/>
      <w:sz w:val="18"/>
      <w:szCs w:val="18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styleId="18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9">
    <w:name w:val="修订1"/>
    <w: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font21"/>
    <w:basedOn w:val="10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2402</Words>
  <Characters>2902</Characters>
  <Lines>36</Lines>
  <Paragraphs>10</Paragraphs>
  <TotalTime>13</TotalTime>
  <ScaleCrop>false</ScaleCrop>
  <LinksUpToDate>false</LinksUpToDate>
  <CharactersWithSpaces>3171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2021-01-21T07:42:00Z</dcterms:created>
  <dc:creator>lenovo</dc:creator>
  <cp:lastModifiedBy>Administrator</cp:lastModifiedBy>
  <cp:lastPrinted>2023-04-18T08:49:00Z</cp:lastPrinted>
  <dcterms:modified xsi:type="dcterms:W3CDTF">2023-06-14T03:13:10Z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05A3344A75BF4096A4DCE5DEC370004C</vt:lpwstr>
  </property>
</Properties>
</file>